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AA" w:rsidRDefault="00E211AB" w:rsidP="00701AAA">
      <w:pPr>
        <w:shd w:val="clear" w:color="auto" w:fill="FFFFFF"/>
        <w:spacing w:before="120" w:after="12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31665">
        <w:rPr>
          <w:rFonts w:ascii="inherit" w:eastAsia="Times New Roman" w:hAnsi="inherit" w:cs="Times New Roman"/>
          <w:sz w:val="45"/>
          <w:szCs w:val="45"/>
          <w:lang w:eastAsia="ru-RU"/>
        </w:rPr>
        <w:t>Положение</w:t>
      </w:r>
    </w:p>
    <w:p w:rsidR="00E211AB" w:rsidRPr="00701AAA" w:rsidRDefault="00E211AB" w:rsidP="00701AAA">
      <w:pPr>
        <w:shd w:val="clear" w:color="auto" w:fill="FFFFFF"/>
        <w:spacing w:before="120" w:after="12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931665">
        <w:rPr>
          <w:rFonts w:ascii="MuseoSansBold" w:eastAsia="Times New Roman" w:hAnsi="MuseoSansBold" w:cs="Times New Roman"/>
          <w:sz w:val="27"/>
          <w:szCs w:val="27"/>
          <w:lang w:eastAsia="ru-RU"/>
        </w:rPr>
        <w:t>Об общероссийской общественной премии «</w:t>
      </w:r>
      <w:proofErr w:type="spellStart"/>
      <w:r w:rsidRPr="00931665">
        <w:rPr>
          <w:rFonts w:ascii="MuseoSansBold" w:eastAsia="Times New Roman" w:hAnsi="MuseoSansBold" w:cs="Times New Roman"/>
          <w:sz w:val="27"/>
          <w:szCs w:val="27"/>
          <w:lang w:eastAsia="ru-RU"/>
        </w:rPr>
        <w:t>Стандартизатор</w:t>
      </w:r>
      <w:proofErr w:type="spellEnd"/>
      <w:r w:rsidRPr="00931665">
        <w:rPr>
          <w:rFonts w:ascii="MuseoSansBold" w:eastAsia="Times New Roman" w:hAnsi="MuseoSansBold" w:cs="Times New Roman"/>
          <w:sz w:val="27"/>
          <w:szCs w:val="27"/>
          <w:lang w:eastAsia="ru-RU"/>
        </w:rPr>
        <w:t xml:space="preserve"> года»</w:t>
      </w:r>
    </w:p>
    <w:p w:rsidR="00701AAA" w:rsidRPr="00701AAA" w:rsidRDefault="00E211AB" w:rsidP="00701AAA">
      <w:pPr>
        <w:shd w:val="clear" w:color="auto" w:fill="FFFFFF"/>
        <w:spacing w:before="240" w:after="120" w:line="240" w:lineRule="auto"/>
        <w:outlineLvl w:val="2"/>
        <w:rPr>
          <w:rFonts w:ascii="MuseoSansMedium" w:eastAsia="Times New Roman" w:hAnsi="MuseoSansMedium" w:cs="Times New Roman"/>
          <w:sz w:val="28"/>
          <w:szCs w:val="28"/>
          <w:lang w:eastAsia="ru-RU"/>
        </w:rPr>
      </w:pPr>
      <w:r w:rsidRPr="00701AAA">
        <w:rPr>
          <w:rFonts w:ascii="MuseoSansMedium" w:eastAsia="Times New Roman" w:hAnsi="MuseoSansMedium" w:cs="Times New Roman"/>
          <w:sz w:val="28"/>
          <w:szCs w:val="28"/>
          <w:lang w:eastAsia="ru-RU"/>
        </w:rPr>
        <w:t>1. Общие положения</w:t>
      </w:r>
    </w:p>
    <w:p w:rsidR="00E211AB" w:rsidRPr="00701AAA" w:rsidRDefault="00E211AB" w:rsidP="00701AAA">
      <w:pPr>
        <w:shd w:val="clear" w:color="auto" w:fill="FFFFFF"/>
        <w:spacing w:before="240" w:after="120" w:line="240" w:lineRule="auto"/>
        <w:outlineLvl w:val="2"/>
        <w:rPr>
          <w:rFonts w:ascii="MuseoSansMedium" w:eastAsia="Times New Roman" w:hAnsi="MuseoSansMedium" w:cs="Times New Roman"/>
          <w:sz w:val="36"/>
          <w:szCs w:val="36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1.1. Общероссийская общественная премия «</w:t>
      </w:r>
      <w:proofErr w:type="spellStart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Стандартизатор</w:t>
      </w:r>
      <w:proofErr w:type="spellEnd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 xml:space="preserve"> года» (далее — Премия) учреждена общероссийской общественной организацией «Всероссийская организация качества» (ВОК) и является признанием заслуг высококвалифицированных специалистов по стандартизации перед обществом и государством.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1.2. Конкурс на соискание премии проводится ВОК при поддержке головного НИИ по стандартизации ФГУП «СТАНДАРТИНФОРМ» и ООО «РИА «Стандарты и качество».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 xml:space="preserve">1.3. Премия присуждается </w:t>
      </w:r>
      <w:r w:rsidRPr="00931665">
        <w:rPr>
          <w:rFonts w:ascii="MuseoSansRegular" w:eastAsia="Times New Roman" w:hAnsi="MuseoSansRegular" w:cs="Times New Roman"/>
          <w:b/>
          <w:sz w:val="24"/>
          <w:szCs w:val="24"/>
          <w:lang w:eastAsia="ru-RU"/>
        </w:rPr>
        <w:t>гражданам Российской Федерации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1.4. Премия присуждается Всероссийской организацией качества (ежегодно).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 xml:space="preserve">1.5. Премия может присуждаться как одному соискателю, </w:t>
      </w:r>
      <w:r w:rsidRPr="00931665">
        <w:rPr>
          <w:rFonts w:ascii="MuseoSansRegular" w:eastAsia="Times New Roman" w:hAnsi="MuseoSansRegular" w:cs="Times New Roman"/>
          <w:b/>
          <w:sz w:val="24"/>
          <w:szCs w:val="24"/>
          <w:lang w:eastAsia="ru-RU"/>
        </w:rPr>
        <w:t>так и коллективу, в том числе коллективу организации.</w:t>
      </w:r>
      <w:r w:rsidRPr="00931665">
        <w:rPr>
          <w:rFonts w:ascii="MuseoSansRegular" w:eastAsia="Times New Roman" w:hAnsi="MuseoSansRegular" w:cs="Times New Roman"/>
          <w:b/>
          <w:sz w:val="24"/>
          <w:szCs w:val="24"/>
          <w:lang w:eastAsia="ru-RU"/>
        </w:rPr>
        <w:br/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1.6. Премия состоит из высшего знака отличия в форме Знака стандарта, выполненного в стекле, и диплома. Заинтересованные организации могут вручить специальные призы для победителей и соискателей Премии во время торжественной церемонии вручения Премии.</w:t>
      </w:r>
    </w:p>
    <w:p w:rsidR="00E211AB" w:rsidRPr="00701AAA" w:rsidRDefault="00E211AB" w:rsidP="00701AAA">
      <w:pPr>
        <w:shd w:val="clear" w:color="auto" w:fill="FFFFFF"/>
        <w:spacing w:before="100" w:beforeAutospacing="1" w:after="120" w:line="240" w:lineRule="auto"/>
        <w:outlineLvl w:val="2"/>
        <w:rPr>
          <w:rFonts w:ascii="MuseoSansMedium" w:eastAsia="Times New Roman" w:hAnsi="MuseoSansMedium" w:cs="Times New Roman"/>
          <w:sz w:val="28"/>
          <w:szCs w:val="28"/>
          <w:lang w:eastAsia="ru-RU"/>
        </w:rPr>
      </w:pPr>
      <w:r w:rsidRPr="00701AAA">
        <w:rPr>
          <w:rFonts w:ascii="MuseoSansMedium" w:eastAsia="Times New Roman" w:hAnsi="MuseoSansMedium" w:cs="Times New Roman"/>
          <w:sz w:val="28"/>
          <w:szCs w:val="28"/>
          <w:lang w:eastAsia="ru-RU"/>
        </w:rPr>
        <w:t>2. Номинации и критерии присуждения Премии</w:t>
      </w:r>
    </w:p>
    <w:p w:rsidR="00E211AB" w:rsidRPr="00931665" w:rsidRDefault="00E211AB" w:rsidP="00701AAA">
      <w:pPr>
        <w:shd w:val="clear" w:color="auto" w:fill="FFFFFF"/>
        <w:spacing w:before="100" w:beforeAutospacing="1" w:after="12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2.1. Премия ежегодно присуждается в одной из четырех номинаций:</w:t>
      </w:r>
    </w:p>
    <w:p w:rsidR="00E211AB" w:rsidRPr="00931665" w:rsidRDefault="00E211AB" w:rsidP="00701AA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«За практический вклад в разработку стандартов, имеющих большое экономическое и социальное значение»;</w:t>
      </w:r>
    </w:p>
    <w:p w:rsidR="00E211AB" w:rsidRPr="00931665" w:rsidRDefault="00E211AB" w:rsidP="00701AA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«За практический вклад в создание и функционирование службы стандартизации на предприятиях (в организациях)»;</w:t>
      </w:r>
    </w:p>
    <w:p w:rsidR="00E211AB" w:rsidRPr="00931665" w:rsidRDefault="00E211AB" w:rsidP="00701AA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«За вклад в образовательную и учебно-просветительную деятельность в области стандартизации и смежных с ней дисциплин»;</w:t>
      </w:r>
    </w:p>
    <w:p w:rsidR="00E211AB" w:rsidRPr="00931665" w:rsidRDefault="00E211AB" w:rsidP="00701AAA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«За вклад в развитие научно-методических основ стандартизации».</w:t>
      </w:r>
    </w:p>
    <w:p w:rsidR="00E211AB" w:rsidRPr="00931665" w:rsidRDefault="00E211AB" w:rsidP="00701AAA">
      <w:p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Решением правления ВОК могут устанавливаться и другие номинации.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2.2. Один и тот же гражданин не может одновременно быть представлен в нескольких номинациях, а также 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не может быть награжден Премией дважды.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2.3. Основными критериями присуждения Премии являются:</w:t>
      </w:r>
    </w:p>
    <w:p w:rsidR="00E211AB" w:rsidRPr="00931665" w:rsidRDefault="00E211AB" w:rsidP="00701AA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значительный вклад в развитие стандартизации как ключевого фактора социально-экономического развития страны;</w:t>
      </w:r>
    </w:p>
    <w:p w:rsidR="00E211AB" w:rsidRPr="00931665" w:rsidRDefault="00E211AB" w:rsidP="00701AAA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общественное признание заслуг и социально значимая деятельность в области стандартизации и смежных с ней дисциплин, учебно-просветительная деятельность.</w:t>
      </w:r>
    </w:p>
    <w:p w:rsidR="00E211AB" w:rsidRPr="00931665" w:rsidRDefault="00E211AB" w:rsidP="00701AAA">
      <w:p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2.4. Премия присуждается: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2.4.1. В номинации «За практический вклад в разработку стандартов, имеющих большое экономическое и социальное значение»:</w:t>
      </w:r>
    </w:p>
    <w:p w:rsidR="00E211AB" w:rsidRPr="00931665" w:rsidRDefault="00E211AB" w:rsidP="00701AA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разработку стандартов в области индустрии 4.0, в том числе цифровой экономики;</w:t>
      </w:r>
    </w:p>
    <w:p w:rsidR="00E211AB" w:rsidRPr="00931665" w:rsidRDefault="00E211AB" w:rsidP="00701AA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lastRenderedPageBreak/>
        <w:t>за создание стандартов, обеспечивающих выпуск и обращение инновационной, высокотехнологичной, конкурентоспособной продукции;</w:t>
      </w:r>
    </w:p>
    <w:p w:rsidR="00E211AB" w:rsidRPr="00931665" w:rsidRDefault="00E211AB" w:rsidP="00701AA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разработку стандартов, обеспечивающих выполнение федеральных целевых и иных государственных программ, направленных на модернизацию экономики страны;</w:t>
      </w:r>
    </w:p>
    <w:p w:rsidR="00E211AB" w:rsidRPr="00931665" w:rsidRDefault="00E211AB" w:rsidP="00701AA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создание высокоэффективных стандартов в социальной сфере;</w:t>
      </w:r>
    </w:p>
    <w:p w:rsidR="00E211AB" w:rsidRPr="00931665" w:rsidRDefault="00E211AB" w:rsidP="00701AAA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разработку стандартов, обеспечивающих выполнение требований технических регламентов Евразийского экономического союза.</w:t>
      </w:r>
    </w:p>
    <w:p w:rsidR="00E211AB" w:rsidRPr="00931665" w:rsidRDefault="00E211AB" w:rsidP="00701AAA">
      <w:p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2.4.2. В номинации «За практический вклад в создание и функционирование службы стандартизации на предприятиях (в организациях)»:</w:t>
      </w:r>
    </w:p>
    <w:p w:rsidR="00E211AB" w:rsidRPr="00931665" w:rsidRDefault="00E211AB" w:rsidP="00701AA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создание (возрождение) и устойчивое функционирование службы стандартизации на предприятии:</w:t>
      </w:r>
    </w:p>
    <w:p w:rsidR="00E211AB" w:rsidRPr="00931665" w:rsidRDefault="00E211AB" w:rsidP="00701AA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образцовую комплектацию и развитие фонда стандартов организации, национальных стандартов и методической литературы по стандартизации.</w:t>
      </w:r>
    </w:p>
    <w:p w:rsidR="00E211AB" w:rsidRPr="00931665" w:rsidRDefault="00E211AB" w:rsidP="00701AAA">
      <w:pPr>
        <w:shd w:val="clear" w:color="auto" w:fill="FFFFFF"/>
        <w:spacing w:before="100" w:beforeAutospacing="1" w:after="0" w:line="240" w:lineRule="auto"/>
        <w:ind w:left="720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2.4.3. В номинации «За вклад в образовательную и учебно-просветительную деятельность в области стандартизации и смежных с ней дисциплин»:</w:t>
      </w:r>
    </w:p>
    <w:p w:rsidR="00E211AB" w:rsidRPr="00931665" w:rsidRDefault="00E211AB" w:rsidP="00701AA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особый вклад по подготовке специалистов направления «Стандартизация и метрологическое обеспечение» и ведение курса по стандартизации в учебных программах инженерных специальностей;</w:t>
      </w:r>
    </w:p>
    <w:p w:rsidR="00E211AB" w:rsidRPr="00931665" w:rsidRDefault="00E211AB" w:rsidP="00701AA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организацию непрерывного процесса повышения квалификации и профессиональной переподготовки кадров в вопросах стандартизации;</w:t>
      </w:r>
    </w:p>
    <w:p w:rsidR="00E211AB" w:rsidRPr="00931665" w:rsidRDefault="00E211AB" w:rsidP="00701AA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подготовку и ведение просветительских программ, постоянные публикации по стандартизации в средствах массовой информации;</w:t>
      </w:r>
    </w:p>
    <w:p w:rsidR="00E211AB" w:rsidRPr="00931665" w:rsidRDefault="00E211AB" w:rsidP="00701AA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 xml:space="preserve">за создание учебных пособий и </w:t>
      </w:r>
      <w:proofErr w:type="spellStart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медийных</w:t>
      </w:r>
      <w:proofErr w:type="spellEnd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 xml:space="preserve"> проектов, раскрывающих основы стандартизации и смежных с ней дисциплин.</w:t>
      </w:r>
    </w:p>
    <w:p w:rsidR="00E211AB" w:rsidRPr="00931665" w:rsidRDefault="00E211AB" w:rsidP="00701AAA">
      <w:p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2.4.4. В номинации «За вклад в развитие научно-методических основ стандартизации»:</w:t>
      </w:r>
    </w:p>
    <w:p w:rsidR="00E211AB" w:rsidRPr="00931665" w:rsidRDefault="00E211AB" w:rsidP="00701AAA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крупный вклад в развитие научно-методических основ стандартизации, защищенные диссертации по спе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softHyphen/>
        <w:t>циальности «Стандартизация и управление качеством»;</w:t>
      </w:r>
    </w:p>
    <w:p w:rsidR="00E211AB" w:rsidRPr="00931665" w:rsidRDefault="00E211AB" w:rsidP="00701AAA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за научные монографии, циклы статей, учебные пособия или учебники, выпущенные за последние пять лет.</w:t>
      </w:r>
    </w:p>
    <w:p w:rsidR="00E211AB" w:rsidRPr="00701AAA" w:rsidRDefault="00E211AB" w:rsidP="00E211AB">
      <w:pPr>
        <w:shd w:val="clear" w:color="auto" w:fill="FFFFFF"/>
        <w:spacing w:before="525" w:after="300" w:line="240" w:lineRule="auto"/>
        <w:outlineLvl w:val="2"/>
        <w:rPr>
          <w:rFonts w:ascii="MuseoSansMedium" w:eastAsia="Times New Roman" w:hAnsi="MuseoSansMedium" w:cs="Times New Roman"/>
          <w:sz w:val="28"/>
          <w:szCs w:val="28"/>
          <w:lang w:eastAsia="ru-RU"/>
        </w:rPr>
      </w:pPr>
      <w:r w:rsidRPr="00701AAA">
        <w:rPr>
          <w:rFonts w:ascii="MuseoSansMedium" w:eastAsia="Times New Roman" w:hAnsi="MuseoSansMedium" w:cs="Times New Roman"/>
          <w:sz w:val="28"/>
          <w:szCs w:val="28"/>
          <w:lang w:eastAsia="ru-RU"/>
        </w:rPr>
        <w:t>3. Рабочие органы Премии</w:t>
      </w:r>
    </w:p>
    <w:p w:rsidR="00E211AB" w:rsidRPr="00931665" w:rsidRDefault="00E211AB" w:rsidP="00E211AB">
      <w:pPr>
        <w:shd w:val="clear" w:color="auto" w:fill="FFFFFF"/>
        <w:spacing w:after="30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 xml:space="preserve">3.1. Рабочими органами Премии являются Совет премии, </w:t>
      </w:r>
      <w:proofErr w:type="spellStart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номинационные</w:t>
      </w:r>
      <w:proofErr w:type="spellEnd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 xml:space="preserve"> экспертные комиссии (далее — Комиссии), жюри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 xml:space="preserve">3.2. Совет Премии создается ежегодно на период проведения Премии решением правления ВОК из состава правления ВОК, руководства </w:t>
      </w:r>
      <w:proofErr w:type="spellStart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Росстандарта</w:t>
      </w:r>
      <w:proofErr w:type="spellEnd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, известных представителей органов стандартизации, технических комитетов, учебных и научных организаций и прекращает свою деятельность на следующий день после торжественной церемонии вручения Премии. Совет Премии избирает председателя Совета Премии из числа своих членов.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3.3. Совет Премии:</w:t>
      </w:r>
    </w:p>
    <w:p w:rsidR="00E211AB" w:rsidRPr="00931665" w:rsidRDefault="00E211AB" w:rsidP="00E211A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lastRenderedPageBreak/>
        <w:t>направляет поступившие представления на выдвижение кандидатов на соискание Премии в Комиссии на экспертизу;</w:t>
      </w:r>
    </w:p>
    <w:p w:rsidR="00E211AB" w:rsidRPr="00931665" w:rsidRDefault="00E211AB" w:rsidP="00E211A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организует работу жюри Премии;</w:t>
      </w:r>
    </w:p>
    <w:p w:rsidR="00E211AB" w:rsidRPr="00931665" w:rsidRDefault="00E211AB" w:rsidP="00E211A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организует торжественную церемонию вручения Премии.</w:t>
      </w:r>
    </w:p>
    <w:p w:rsidR="00E211AB" w:rsidRPr="00931665" w:rsidRDefault="00E211AB" w:rsidP="00E211AB">
      <w:pPr>
        <w:shd w:val="clear" w:color="auto" w:fill="FFFFFF"/>
        <w:spacing w:after="30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3.4. Комиссии создаются ежегодно решением Совета Премии. Комиссии проводят экспертизу поступивших в Совет Премии заявок и дают по ее результатам заключения и предложения.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3.5. Жюри Премии рассматривает заключения Комиссий и принимает окончательное решение относительно лауреатов Премии. Состав жюри Премии утверждается правлением ВОК по представлению президента ВОК.</w:t>
      </w:r>
    </w:p>
    <w:p w:rsidR="00E211AB" w:rsidRPr="00701AAA" w:rsidRDefault="00E211AB" w:rsidP="00E211AB">
      <w:pPr>
        <w:shd w:val="clear" w:color="auto" w:fill="FFFFFF"/>
        <w:spacing w:before="525" w:after="300" w:line="240" w:lineRule="auto"/>
        <w:outlineLvl w:val="2"/>
        <w:rPr>
          <w:rFonts w:ascii="MuseoSansMedium" w:eastAsia="Times New Roman" w:hAnsi="MuseoSansMedium" w:cs="Times New Roman"/>
          <w:sz w:val="28"/>
          <w:szCs w:val="28"/>
          <w:lang w:eastAsia="ru-RU"/>
        </w:rPr>
      </w:pPr>
      <w:r w:rsidRPr="00701AAA">
        <w:rPr>
          <w:rFonts w:ascii="MuseoSansMedium" w:eastAsia="Times New Roman" w:hAnsi="MuseoSansMedium" w:cs="Times New Roman"/>
          <w:sz w:val="28"/>
          <w:szCs w:val="28"/>
          <w:lang w:eastAsia="ru-RU"/>
        </w:rPr>
        <w:t>4. Порядок выдвижения кандидатов на соискание Премии и принятие решения о присуждении Премии</w:t>
      </w:r>
    </w:p>
    <w:p w:rsidR="00E211AB" w:rsidRPr="00931665" w:rsidRDefault="00E211AB" w:rsidP="00406BD6">
      <w:pPr>
        <w:shd w:val="clear" w:color="auto" w:fill="FFFFFF"/>
        <w:tabs>
          <w:tab w:val="left" w:pos="9072"/>
        </w:tabs>
        <w:spacing w:after="30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 xml:space="preserve">4.1. Право выдвигать кандидатов на соискание Премии имеют члены правления ВОК, региональные и отраслевые отделения ВОК, общественные объединения — партнеры ВОК, технические комитеты по стандартизации, отраслевые советы по стандартизации, общественные советы при </w:t>
      </w:r>
      <w:proofErr w:type="spellStart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Росстандарте</w:t>
      </w:r>
      <w:proofErr w:type="spellEnd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 xml:space="preserve"> и других федеральных органов исполнительной власти, научные, образовательные организации, предприятия.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4.2. Представления на кандидатов подаются в соответствии с порядком, представленном в Приложении 1 (Приложения размещены на сайтах </w:t>
      </w:r>
      <w:hyperlink r:id="rId8" w:history="1">
        <w:r w:rsidRPr="00931665">
          <w:rPr>
            <w:rFonts w:ascii="MuseoSansMediumItalic" w:eastAsia="Times New Roman" w:hAnsi="MuseoSansMediumItalic" w:cs="Times New Roman"/>
            <w:sz w:val="24"/>
            <w:szCs w:val="24"/>
            <w:u w:val="single"/>
            <w:lang w:eastAsia="ru-RU"/>
          </w:rPr>
          <w:t>www.ria-stk.ru</w:t>
        </w:r>
      </w:hyperlink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, </w:t>
      </w:r>
      <w:hyperlink w:history="1">
        <w:r w:rsidRPr="00931665">
          <w:rPr>
            <w:rFonts w:ascii="MuseoSansMediumItalic" w:eastAsia="Times New Roman" w:hAnsi="MuseoSansMediumItalic" w:cs="Times New Roman"/>
            <w:sz w:val="24"/>
            <w:szCs w:val="24"/>
            <w:u w:val="single"/>
            <w:lang w:eastAsia="ru-RU"/>
          </w:rPr>
          <w:t>www.gostinfo.ru)</w:t>
        </w:r>
      </w:hyperlink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4.3. Представления могут подаваться непосредственно в Совет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4.4. Лицо или организация, выдвигающие кандидатуру на соискание Премии, подготавливают письменное представление, которое подписывается соответственно указанным лицом или руководителем организации. 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 xml:space="preserve">К представлению прилагаются сведения об опубликованных или обнародованных иным способом научных и других работах, иные материалы, свидетельствующие о заслугах лица, выдвигаемого на соискание Премии, и о соответствии критериям, установленным </w:t>
      </w:r>
      <w:proofErr w:type="spellStart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пп</w:t>
      </w:r>
      <w:proofErr w:type="spellEnd"/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. 2.3 и 2.4 настоящего Положения.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4.5. Информация о сроках подачи представления на кандидатов, а также объявления о начале приема документов на соискание Премии ежегодно размещаются на сайтах ВОК, ФГУП «СТАНДАРТИНФОРМ» и в журнале «Стандарты и качество».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4.6. Совет Премии направляет представления на кандидатов и прилагаемые к ним материалы на экспертизу в соответствующие Комиссии.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4.7. Комиссии отбирают не более трех соискателей Премии по каждой номинации, дают заключение на каждого отобранного соискателя Премии и направляют в Совет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4.8. Соискатель на присуждение Премии в соответствующей номинации уведомляется об этом персонально и должен представить свое письменное согласие на выдвижение его в качестве соискателя на присуждение Премии. Непредставление указанного согласия может являться основанием для принятия жюри решения об исключении соответствующего лица из числа соискателей на присуждение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4.9. Жюри Премии формирует список соискателей, рекомендованных к присуждению Премии. Жюри на основании полученных заключений проводит открытое обсуждение представленных Советом Премии материалов и принимает решение о присуждении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4.10. Порядок проведения заседания жюри и голосования при определении соискателей, рекомендованных к присуждению Премии, определяется Советом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4.11. Решение о присуждении Премии принимает жюри Премии голосованием простым большинством голосов присутствующих на заседании членов жюри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 xml:space="preserve">4.12. Данные о лауреатах Премии заносятся в специальные карточки, запечатываются в 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lastRenderedPageBreak/>
        <w:t>конверты и передаются на хранение в Совет Премии до проведения торжественной церемонии вручения Премии.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4.13. Данные о лауреатах Премии заносятся в Реестр лауреатов Премии. Ведение Реестра осуществляется 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аппаратом ВОК.</w:t>
      </w:r>
    </w:p>
    <w:p w:rsidR="00E211AB" w:rsidRPr="00701AAA" w:rsidRDefault="00E211AB" w:rsidP="00E211AB">
      <w:pPr>
        <w:shd w:val="clear" w:color="auto" w:fill="FFFFFF"/>
        <w:spacing w:before="525" w:after="300" w:line="240" w:lineRule="auto"/>
        <w:outlineLvl w:val="2"/>
        <w:rPr>
          <w:rFonts w:ascii="MuseoSansMedium" w:eastAsia="Times New Roman" w:hAnsi="MuseoSansMedium" w:cs="Times New Roman"/>
          <w:sz w:val="28"/>
          <w:szCs w:val="28"/>
          <w:lang w:eastAsia="ru-RU"/>
        </w:rPr>
      </w:pPr>
      <w:r w:rsidRPr="00701AAA">
        <w:rPr>
          <w:rFonts w:ascii="MuseoSansMedium" w:eastAsia="Times New Roman" w:hAnsi="MuseoSansMedium" w:cs="Times New Roman"/>
          <w:sz w:val="28"/>
          <w:szCs w:val="28"/>
          <w:lang w:eastAsia="ru-RU"/>
        </w:rPr>
        <w:t>5. Вручение Премии</w:t>
      </w:r>
    </w:p>
    <w:p w:rsidR="00E211AB" w:rsidRPr="00931665" w:rsidRDefault="00E211AB" w:rsidP="00E211AB">
      <w:pPr>
        <w:shd w:val="clear" w:color="auto" w:fill="FFFFFF"/>
        <w:spacing w:after="300" w:line="240" w:lineRule="auto"/>
        <w:rPr>
          <w:rFonts w:ascii="MuseoSansRegular" w:eastAsia="Times New Roman" w:hAnsi="MuseoSansRegular" w:cs="Times New Roman"/>
          <w:sz w:val="24"/>
          <w:szCs w:val="24"/>
          <w:lang w:eastAsia="ru-RU"/>
        </w:rPr>
      </w:pP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t>5.1. Церемония вручения Премии проводится ежегодно 14 октября в профессиональный праздник — Международный день стандартов — в торжественной обстановке на конференции с принятием мер по широкому освещению церемонии в средствах массовой информации. Информация о проведении церемонии вручения Премии и ее результатах размещается на сайтах ВОК, ФГУП «СТАНДАРТИНФОРМ», в журнале «Стандарты и качество», в других средствах массовой информации.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5.2. На церемонию вручения Премии приглашаются видные ученые, государственные и общественные деятели, представители советов и технических комитетов по стандартизации, служб стандартизации предприятий, образовательных организаций высшего профессионального образования, профильных научных институтов, министерств, ведомств и общественных организаций. Премию вручает председатель Совета.</w:t>
      </w:r>
      <w:r w:rsidRPr="00931665">
        <w:rPr>
          <w:rFonts w:ascii="MuseoSansRegular" w:eastAsia="Times New Roman" w:hAnsi="MuseoSansRegular" w:cs="Times New Roman"/>
          <w:sz w:val="24"/>
          <w:szCs w:val="24"/>
          <w:lang w:eastAsia="ru-RU"/>
        </w:rPr>
        <w:br/>
        <w:t>5.3. Обеспечение проведения торжественной церемонии вручения Премии осуществляет Совет Премии.</w:t>
      </w:r>
    </w:p>
    <w:p w:rsidR="004E2C7E" w:rsidRPr="00931665" w:rsidRDefault="004E2C7E"/>
    <w:sectPr w:rsidR="004E2C7E" w:rsidRPr="009316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AE" w:rsidRDefault="004739AE" w:rsidP="00323D8F">
      <w:pPr>
        <w:spacing w:after="0" w:line="240" w:lineRule="auto"/>
      </w:pPr>
      <w:r>
        <w:separator/>
      </w:r>
    </w:p>
  </w:endnote>
  <w:endnote w:type="continuationSeparator" w:id="0">
    <w:p w:rsidR="004739AE" w:rsidRDefault="004739AE" w:rsidP="0032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useoSansBold">
    <w:altName w:val="Times New Roman"/>
    <w:panose1 w:val="00000000000000000000"/>
    <w:charset w:val="00"/>
    <w:family w:val="roman"/>
    <w:notTrueType/>
    <w:pitch w:val="default"/>
  </w:font>
  <w:font w:name="MuseoSansMedium">
    <w:altName w:val="Times New Roman"/>
    <w:panose1 w:val="00000000000000000000"/>
    <w:charset w:val="00"/>
    <w:family w:val="roman"/>
    <w:notTrueType/>
    <w:pitch w:val="default"/>
  </w:font>
  <w:font w:name="MuseoSansRegular">
    <w:altName w:val="Times New Roman"/>
    <w:panose1 w:val="00000000000000000000"/>
    <w:charset w:val="00"/>
    <w:family w:val="roman"/>
    <w:notTrueType/>
    <w:pitch w:val="default"/>
  </w:font>
  <w:font w:name="MuseoSansMedium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36189"/>
      <w:docPartObj>
        <w:docPartGallery w:val="Page Numbers (Bottom of Page)"/>
        <w:docPartUnique/>
      </w:docPartObj>
    </w:sdtPr>
    <w:sdtEndPr/>
    <w:sdtContent>
      <w:p w:rsidR="00323D8F" w:rsidRDefault="00323D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AAA">
          <w:rPr>
            <w:noProof/>
          </w:rPr>
          <w:t>1</w:t>
        </w:r>
        <w:r>
          <w:fldChar w:fldCharType="end"/>
        </w:r>
      </w:p>
    </w:sdtContent>
  </w:sdt>
  <w:p w:rsidR="00323D8F" w:rsidRDefault="00323D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AE" w:rsidRDefault="004739AE" w:rsidP="00323D8F">
      <w:pPr>
        <w:spacing w:after="0" w:line="240" w:lineRule="auto"/>
      </w:pPr>
      <w:r>
        <w:separator/>
      </w:r>
    </w:p>
  </w:footnote>
  <w:footnote w:type="continuationSeparator" w:id="0">
    <w:p w:rsidR="004739AE" w:rsidRDefault="004739AE" w:rsidP="0032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4A4"/>
    <w:multiLevelType w:val="multilevel"/>
    <w:tmpl w:val="565E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372C"/>
    <w:multiLevelType w:val="multilevel"/>
    <w:tmpl w:val="A382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73A6"/>
    <w:multiLevelType w:val="multilevel"/>
    <w:tmpl w:val="DC0C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92627"/>
    <w:multiLevelType w:val="multilevel"/>
    <w:tmpl w:val="B62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81AA8"/>
    <w:multiLevelType w:val="multilevel"/>
    <w:tmpl w:val="BF3C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B5557"/>
    <w:multiLevelType w:val="multilevel"/>
    <w:tmpl w:val="53FA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AB"/>
    <w:rsid w:val="0004600D"/>
    <w:rsid w:val="001C558A"/>
    <w:rsid w:val="00323D8F"/>
    <w:rsid w:val="00406BD6"/>
    <w:rsid w:val="004739AE"/>
    <w:rsid w:val="004E2C7E"/>
    <w:rsid w:val="00701AAA"/>
    <w:rsid w:val="00856532"/>
    <w:rsid w:val="008F5A52"/>
    <w:rsid w:val="00931665"/>
    <w:rsid w:val="00E211AB"/>
    <w:rsid w:val="00E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1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1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D8F"/>
  </w:style>
  <w:style w:type="paragraph" w:styleId="a7">
    <w:name w:val="footer"/>
    <w:basedOn w:val="a"/>
    <w:link w:val="a8"/>
    <w:uiPriority w:val="99"/>
    <w:unhideWhenUsed/>
    <w:rsid w:val="0032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21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1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D8F"/>
  </w:style>
  <w:style w:type="paragraph" w:styleId="a7">
    <w:name w:val="footer"/>
    <w:basedOn w:val="a"/>
    <w:link w:val="a8"/>
    <w:uiPriority w:val="99"/>
    <w:unhideWhenUsed/>
    <w:rsid w:val="0032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-st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Мельникова</dc:creator>
  <cp:keywords/>
  <dc:description/>
  <cp:lastModifiedBy>Татьяна Б. Гуткина</cp:lastModifiedBy>
  <cp:revision>7</cp:revision>
  <cp:lastPrinted>2019-08-13T08:48:00Z</cp:lastPrinted>
  <dcterms:created xsi:type="dcterms:W3CDTF">2019-05-23T05:49:00Z</dcterms:created>
  <dcterms:modified xsi:type="dcterms:W3CDTF">2019-08-14T09:10:00Z</dcterms:modified>
</cp:coreProperties>
</file>